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1339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5947).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Утверждены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1339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ИЗМЕНЕНИЯ,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 РОССИЙСКОЙ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8 НОЯБРЯ 2013 Г. N 1005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абзаце втором пункта 1</w:t>
        </w:r>
      </w:hyperlink>
      <w:r>
        <w:rPr>
          <w:rFonts w:ascii="Calibri" w:hAnsi="Calibri" w:cs="Calibri"/>
        </w:rPr>
        <w:t xml:space="preserve"> слова "требования к форме" заменить словами "дополнительные требования к".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указанным постановлением, изложить в следующей редакции: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"Утверждены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1339)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ДОПОЛНИТЕЛЬНЫЕ ТРЕБОВАНИЯ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БАНКОВСКОЙ ГАРАНТИИ, ИСПОЛЬЗУЕМОЙ ДЛЯ ЦЕЛЕЙ ФЕДЕРАЛЬНОГО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КОНТРАКТНОЙ СИСТЕМЕ В СФЕРЕ ЗАКУПОК ТОВАРОВ,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</w:t>
      </w:r>
      <w:hyperlink r:id="rId8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</w:t>
      </w:r>
      <w:r>
        <w:rPr>
          <w:rFonts w:ascii="Calibri" w:hAnsi="Calibri" w:cs="Calibri"/>
        </w:rPr>
        <w:lastRenderedPageBreak/>
        <w:t>государственных и муниципальных нужд", с учетом следующих требований: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обязательное закрепление в банковской гарантии: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9" w:history="1">
        <w:r>
          <w:rPr>
            <w:rFonts w:ascii="Calibri" w:hAnsi="Calibri" w:cs="Calibri"/>
            <w:color w:val="0000FF"/>
          </w:rPr>
          <w:t>частью 13 статьи 44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недопустимость включения в банковскую гарантию: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 предоставлении заказчиком гаранту отчета об исполнении контракта;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листах.".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"могут быть указаны" заменить словами "и лиц без гражданства указываются как на государственном языке Российской Федерации, так и".</w:t>
      </w: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07E" w:rsidRDefault="00A030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1772" w:rsidRDefault="00821772"/>
    <w:sectPr w:rsidR="00821772" w:rsidSect="00A030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E"/>
    <w:rsid w:val="00821772"/>
    <w:rsid w:val="00A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B23B-84BC-49EB-8BCC-827518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40C4B949F3258A28FE01094724B1EB6D5F90BB189419B3E9085E2A4B6C2F4CD4C8AF7BEA5DEFF630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40C4B949F3258A28FE01094724B1EB6D7FC0EB78B419B3E9085E2A4B6C2F4CD4C8AF7BEA5DBFA630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6D7FC0EB78B419B3E9085E2A4B6C2F4CD4C8AF7BEA5DBFB630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B40C4B949F3258A28FE01094724B1EB6D7FC0EB78B419B3E9085E2A46B06M" TargetMode="External"/><Relationship Id="rId10" Type="http://schemas.openxmlformats.org/officeDocument/2006/relationships/hyperlink" Target="consultantplus://offline/ref=41B40C4B949F3258A28FE01094724B1EB6D7FC0EB78B419B3E9085E2A4B6C2F4CD4C8AF7BEA5DBF8630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B40C4B949F3258A28FE01094724B1EB6D5F90BB189419B3E9085E2A4B6C2F4CD4C8AF7BEA5DEF963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1</cp:revision>
  <dcterms:created xsi:type="dcterms:W3CDTF">2014-12-25T12:52:00Z</dcterms:created>
  <dcterms:modified xsi:type="dcterms:W3CDTF">2014-12-25T12:54:00Z</dcterms:modified>
</cp:coreProperties>
</file>