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https://bryansk.fas.gov.ru/news/16276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16.10.2019г. по 23.10.2019г.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16 октября по 263октября 2019 года розничные цены на нефтепродукты увеличились: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  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на АЗС бренд «Газпром», а именно: ДТл на 0,20 руб.(0,43%);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23.10.2019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46,18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41,29-42,29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45,49-45,99/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45,77-45,87/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LibreOffice/6.0.7.3$Linux_X86_64 LibreOffice_project/00m0$Build-3</Application>
  <Pages>1</Pages>
  <Words>105</Words>
  <Characters>700</Characters>
  <CharactersWithSpaces>830</CharactersWithSpaces>
  <Paragraphs>32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2020-04-09T16:34:14Z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